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3C7F" w14:textId="77777777" w:rsidR="00EC56D3" w:rsidRPr="00867F6D" w:rsidRDefault="00EC56D3" w:rsidP="00EC5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УКАЗАНИЯ</w:t>
      </w:r>
    </w:p>
    <w:p w14:paraId="1448C3A2" w14:textId="77777777" w:rsidR="00EC56D3" w:rsidRPr="00867F6D" w:rsidRDefault="00EC56D3" w:rsidP="00EC5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отчетности </w:t>
      </w:r>
      <w:bookmarkStart w:id="0" w:name="_Hlk171411770"/>
      <w:r w:rsidRPr="00867F6D">
        <w:rPr>
          <w:rFonts w:ascii="Times New Roman" w:hAnsi="Times New Roman" w:cs="Times New Roman"/>
          <w:b w:val="0"/>
          <w:sz w:val="30"/>
          <w:szCs w:val="30"/>
        </w:rPr>
        <w:t>«</w:t>
      </w:r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 xml:space="preserve">Отчет о результатах учета озоноразрушающих веществ и инвентаризации 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оборудования и технических устройств, содержащих озоноразрушающие вещества»</w:t>
      </w:r>
      <w:bookmarkEnd w:id="0"/>
    </w:p>
    <w:p w14:paraId="4685DC1E" w14:textId="77777777" w:rsidR="00EC56D3" w:rsidRPr="00867F6D" w:rsidRDefault="00EC56D3" w:rsidP="00EC5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185A4291" w14:textId="77777777" w:rsidR="00EC56D3" w:rsidRPr="00867F6D" w:rsidRDefault="00EC56D3" w:rsidP="00EC56D3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1</w:t>
      </w:r>
    </w:p>
    <w:p w14:paraId="59B87C15" w14:textId="77777777" w:rsidR="00EC56D3" w:rsidRPr="00867F6D" w:rsidRDefault="00EC56D3" w:rsidP="00EC56D3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157D0F71" w14:textId="77777777" w:rsidR="00EC56D3" w:rsidRPr="00867F6D" w:rsidRDefault="00EC56D3" w:rsidP="00EC56D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14:paraId="79C62568" w14:textId="77777777" w:rsidR="00EC56D3" w:rsidRPr="00867F6D" w:rsidRDefault="00EC56D3" w:rsidP="00EC56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1. Ведомственная отчетность «</w:t>
      </w:r>
      <w:r w:rsidRPr="00867F6D">
        <w:rPr>
          <w:rFonts w:ascii="Times New Roman" w:hAnsi="Times New Roman" w:cs="Times New Roman"/>
          <w:bCs/>
          <w:sz w:val="30"/>
          <w:szCs w:val="30"/>
        </w:rPr>
        <w:t xml:space="preserve">Отчет о результатах учета озоноразрушающих веществ и инвентаризации </w:t>
      </w:r>
      <w:r w:rsidRPr="00867F6D">
        <w:rPr>
          <w:rFonts w:ascii="Times New Roman" w:hAnsi="Times New Roman" w:cs="Times New Roman"/>
          <w:sz w:val="30"/>
          <w:szCs w:val="30"/>
        </w:rPr>
        <w:t>оборудования и технических устройств, содержащих озоноразрушающие вещества» (далее – отчет) предоставляется в электронном виде.</w:t>
      </w:r>
    </w:p>
    <w:p w14:paraId="4196124C" w14:textId="77777777" w:rsidR="00EC56D3" w:rsidRPr="00867F6D" w:rsidRDefault="00EC56D3" w:rsidP="00EC56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2. Юридические лица, осуществляющие лицензируемую деятельность, связанную с воздействием на окружающую среду в части операций с озоноразрушающими веществами, и (или) ввоз в Республику Беларусь и (или) вывоз из Республики Беларусь гидрофторуглеродов, а также юридические лица, эксплуатирующие оборудование и технические устройства, содержащие озоноразрушающие вещества, предоставляют отчетность по месту регистрации юридического лица областным или Минскому городскому комитетам природных ресурсов и охраны окружающей среды (далее – комитеты) 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по следующим электронным адресам: Брестский областной комитет природных ресурсов и охраны окружающей среды 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4" w:history="1"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priroda@priroda-brest.by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Витебский областной комитет природных ресурсов и охраны окружающей среды – </w:t>
      </w:r>
      <w:hyperlink r:id="rId5" w:history="1"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komitet@priroda-vitebsk.gov.by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Гомельский областной комитет природных ресурсов и охраны окружающей среды –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mail</w:t>
      </w:r>
      <w:hyperlink r:id="rId6" w:history="1">
        <w:r w:rsidRPr="00867F6D">
          <w:rPr>
            <w:rStyle w:val="ac"/>
            <w:rFonts w:ascii="Times New Roman" w:hAnsi="Times New Roman" w:cs="Times New Roman"/>
            <w:bCs/>
            <w:sz w:val="30"/>
            <w:szCs w:val="30"/>
          </w:rPr>
          <w:t>@</w:t>
        </w:r>
        <w:r w:rsidRPr="00867F6D">
          <w:rPr>
            <w:rStyle w:val="ac"/>
            <w:rFonts w:ascii="Times New Roman" w:hAnsi="Times New Roman" w:cs="Times New Roman"/>
            <w:bCs/>
            <w:sz w:val="30"/>
            <w:szCs w:val="30"/>
            <w:lang w:val="en-US"/>
          </w:rPr>
          <w:t>nature</w:t>
        </w:r>
        <w:r w:rsidRPr="00867F6D">
          <w:rPr>
            <w:rStyle w:val="ac"/>
            <w:rFonts w:ascii="Times New Roman" w:hAnsi="Times New Roman" w:cs="Times New Roman"/>
            <w:bCs/>
            <w:sz w:val="30"/>
            <w:szCs w:val="30"/>
          </w:rPr>
          <w:t>gomel.by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Гродненский областной комитет природных ресурсов и охраны окружающей среды – </w:t>
      </w:r>
      <w:hyperlink r:id="rId7" w:history="1"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oblkomprios@ohranaprirody.gov.by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областной комитет природных ресурсов и охраны окружающей среды –  </w:t>
      </w:r>
      <w:hyperlink r:id="rId8" w:history="1"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mocprioos@minoblpriroda.gov.by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городской комитет природных ресурсов и охраны окружающей среды – </w:t>
      </w:r>
      <w:hyperlink r:id="rId9" w:history="1">
        <w:r w:rsidRPr="00867F6D">
          <w:rPr>
            <w:rStyle w:val="ac"/>
            <w:rFonts w:ascii="Times New Roman" w:hAnsi="Times New Roman" w:cs="Times New Roman"/>
            <w:sz w:val="30"/>
            <w:szCs w:val="30"/>
            <w:shd w:val="clear" w:color="auto" w:fill="FFFFFF"/>
          </w:rPr>
          <w:t>priroda@mail.belpak.by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>, Могилевский областной комитет природных рес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урсов и охраны окружающей среды 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10" w:history="1"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ok_proos@mogilev</w:t>
        </w:r>
        <w:r w:rsidRPr="00867F6D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priroda</w:t>
        </w:r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867F6D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867F6D">
          <w:rPr>
            <w:rStyle w:val="ac"/>
            <w:rFonts w:ascii="Times New Roman" w:hAnsi="Times New Roman" w:cs="Times New Roman"/>
            <w:sz w:val="30"/>
            <w:szCs w:val="30"/>
          </w:rPr>
          <w:t>by</w:t>
        </w:r>
        <w:proofErr w:type="spellEnd"/>
      </w:hyperlink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14:paraId="3548CFD7" w14:textId="77777777" w:rsidR="00EC56D3" w:rsidRPr="00867F6D" w:rsidRDefault="00EC56D3" w:rsidP="00EC56D3">
      <w:pPr>
        <w:suppressAutoHyphens/>
        <w:ind w:firstLine="709"/>
        <w:rPr>
          <w:color w:val="000000"/>
        </w:rPr>
      </w:pPr>
      <w:r w:rsidRPr="00867F6D">
        <w:t xml:space="preserve">Комитеты предоставляют отчет в Министерство природных ресурсов и охраны окружающей среды по электронному адресу: </w:t>
      </w:r>
      <w:r w:rsidRPr="00867F6D">
        <w:rPr>
          <w:bCs/>
        </w:rPr>
        <w:t>mail@minpriroda.gov.by</w:t>
      </w:r>
      <w:r w:rsidRPr="00867F6D">
        <w:t>.</w:t>
      </w:r>
    </w:p>
    <w:p w14:paraId="455A49F7" w14:textId="77777777" w:rsidR="00EC56D3" w:rsidRPr="00867F6D" w:rsidRDefault="00EC56D3" w:rsidP="00EC56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 При заполнении отчета:</w:t>
      </w:r>
    </w:p>
    <w:p w14:paraId="33D460EC" w14:textId="77777777" w:rsidR="00EC56D3" w:rsidRPr="00867F6D" w:rsidRDefault="00EC56D3" w:rsidP="00EC56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3.1. для каждого наименования озоноразрушающего вещества, смеси озоноразрушающих веществ (далее, если не указано иное, – ОРВ) отводится отдельная строка;</w:t>
      </w:r>
    </w:p>
    <w:p w14:paraId="75970F8E" w14:textId="77777777" w:rsidR="00EC56D3" w:rsidRPr="00867F6D" w:rsidRDefault="00EC56D3" w:rsidP="00EC56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lastRenderedPageBreak/>
        <w:t>3.2. обращение с рекуперированными и восстановленными ОРВ также отражается отдельными строками с добавлением к наименованию ОРВ буквы Р;</w:t>
      </w:r>
    </w:p>
    <w:p w14:paraId="3F3CA1EA" w14:textId="77777777" w:rsidR="00EC56D3" w:rsidRPr="00867F6D" w:rsidRDefault="00EC56D3" w:rsidP="00EC56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3.3. количественные показатели ОРВ приводятся в килограммах с тремя знаками после запятой.</w:t>
      </w:r>
    </w:p>
    <w:p w14:paraId="141C5412" w14:textId="77777777" w:rsidR="00EC56D3" w:rsidRPr="00867F6D" w:rsidRDefault="00EC56D3" w:rsidP="00EC56D3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1DD1E3A6" w14:textId="77777777" w:rsidR="00EC56D3" w:rsidRPr="00867F6D" w:rsidRDefault="00EC56D3" w:rsidP="00EC56D3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2</w:t>
      </w:r>
    </w:p>
    <w:p w14:paraId="1817181F" w14:textId="77777777" w:rsidR="00EC56D3" w:rsidRPr="00867F6D" w:rsidRDefault="00EC56D3" w:rsidP="00EC56D3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14:paraId="4905154F" w14:textId="77777777" w:rsidR="00EC56D3" w:rsidRPr="00867F6D" w:rsidRDefault="00EC56D3" w:rsidP="00EC56D3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630F4C71" w14:textId="77777777" w:rsidR="00EC56D3" w:rsidRPr="00867F6D" w:rsidRDefault="00EC56D3" w:rsidP="00EC56D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 При заполнении </w:t>
      </w:r>
      <w:hyperlink w:anchor="P72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раздела I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веществами»:</w:t>
      </w:r>
    </w:p>
    <w:p w14:paraId="5CF47599" w14:textId="77777777" w:rsidR="00EC56D3" w:rsidRPr="00867F6D" w:rsidRDefault="00EC56D3" w:rsidP="00EC56D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4.1. в пункте 1 отражаются сведения об обращении с ОРВ при осуществлении лицензируемой деятельности, связанной с воздействием на окружающую среду в части операций с ОРВ;</w:t>
      </w:r>
    </w:p>
    <w:p w14:paraId="295053A9" w14:textId="77777777" w:rsidR="00EC56D3" w:rsidRPr="00867F6D" w:rsidRDefault="00EC56D3" w:rsidP="00EC56D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4.2. в пункте 2 отражаются сведения об обращении с гидрофторуглеродами, смесями гидрофторуглеродов (далее – ГФУ) при осуществлении их ввоза в Республику Беларусь и (или) вывоза из Республики Беларусь;</w:t>
      </w:r>
    </w:p>
    <w:p w14:paraId="09A65583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4.3. в </w:t>
      </w:r>
      <w:hyperlink w:anchor="P7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 с указанием процентно-компонентного состава ОРВ в смеси (за исключением смесей ГФУ);</w:t>
      </w:r>
    </w:p>
    <w:p w14:paraId="4D2B3145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4.4. в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14:paraId="0D0E0421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4.5. в </w:t>
      </w:r>
      <w:hyperlink w:anchor="P86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ввезенных в Республику Беларусь или приобретенных у организаций Республики Беларусь, а также поступивших рекуперированных и восстановленных ОРВ в отчетном году;</w:t>
      </w:r>
    </w:p>
    <w:p w14:paraId="6DC11437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4.6. в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14:paraId="233184F5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4.7. в графе 4 отражается количество ОРВ, использованных для эксплуатации, технического обслуживания и ремонта оборудования и технических устройств, для которых в соответствии с техническими характеристиками необходимы ОРВ; </w:t>
      </w:r>
    </w:p>
    <w:p w14:paraId="3DC671F6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4.8. в </w:t>
      </w:r>
      <w:hyperlink w:anchor="P9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– при использовании ОРВ для технического обслуживания, ремонта собственного эксплуатируемого оборудования и технических устройств; 2 – при использовании ОРВ для технического обслуживания, ремонта оборудования и технических устройств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сторонних организаций; 3 –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следующие назначения: ХО – при применении ОРВ в холодильном оборудовании; СК – в технических устройствах транспортных средств, системах кондиционирования; ПЖ – в системах, устройствах, средствах пожаротушения; ПЕ – в качестве пенообразователей; АС – в качестве чистящих растворителей, стерилизаторов; ЛИ – для лабораторных исследований; КО – для обеззараживания и очистки подкарантинных объектов, в том числе подкарантинной продукции; И – иное применение;</w:t>
      </w:r>
    </w:p>
    <w:p w14:paraId="010EC4BC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4.9. в </w:t>
      </w:r>
      <w:hyperlink w:anchor="P8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рекуперированных ОРВ, в том числе при демонтаже и подготовке к списанию как собственного оборудования и технических устройств, содержащих ОРВ, так и оборудования и технических устройств, содержащих ОРВ, сторонних организаций;</w:t>
      </w:r>
    </w:p>
    <w:p w14:paraId="2E9E1606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4.10.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6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восстановленных ОРВ из числа рекуперированных;</w:t>
      </w:r>
    </w:p>
    <w:p w14:paraId="01BFA0BA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4.11.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переданных сторонним организациям для восстановления, из числа рекуперированных;</w:t>
      </w:r>
    </w:p>
    <w:p w14:paraId="2F85B58F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4.12. в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графы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1 и 2 </w:t>
      </w:r>
      <w:r w:rsidRPr="00867F6D">
        <w:rPr>
          <w:rFonts w:ascii="Times New Roman" w:hAnsi="Times New Roman" w:cs="Times New Roman"/>
          <w:sz w:val="30"/>
          <w:szCs w:val="30"/>
        </w:rPr>
        <w:t xml:space="preserve">за вычетом суммы данных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 и 4</w:t>
      </w:r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14:paraId="3792F0B4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B28EFA3" w14:textId="77777777" w:rsidR="00EC56D3" w:rsidRPr="00867F6D" w:rsidRDefault="00EC56D3" w:rsidP="00EC56D3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3</w:t>
      </w:r>
    </w:p>
    <w:p w14:paraId="0C7E11E4" w14:textId="77777777" w:rsidR="00EC56D3" w:rsidRPr="00867F6D" w:rsidRDefault="00EC56D3" w:rsidP="00EC56D3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t xml:space="preserve">ПОРЯДОК ЗАПОЛНЕНИЯ РАЗДЕЛА </w:t>
      </w:r>
      <w:r w:rsidRPr="00867F6D">
        <w:rPr>
          <w:lang w:val="en-US"/>
        </w:rPr>
        <w:t>III</w:t>
      </w:r>
      <w:r w:rsidRPr="00867F6D">
        <w:t xml:space="preserve"> «</w:t>
      </w:r>
      <w:r w:rsidRPr="00867F6D">
        <w:rPr>
          <w:bCs/>
        </w:rPr>
        <w:t xml:space="preserve">СВЕДЕНИЯ О РЕЗУЛЬТАТАХ ИНВЕНТАРИЗАЦИИ ОБОРУДОВАНИЯ И ТЕХНИЧЕСКИХ УСТРОЙСТВ, СОДЕРЖАЩИХ </w:t>
      </w:r>
      <w:r w:rsidRPr="00867F6D">
        <w:rPr>
          <w:bCs/>
          <w:caps/>
        </w:rPr>
        <w:t>более трех килограммов</w:t>
      </w:r>
      <w:r w:rsidRPr="00867F6D">
        <w:rPr>
          <w:bCs/>
        </w:rPr>
        <w:t xml:space="preserve"> ОЗОНОРАЗРУШАЮЩИХ ВЕЩЕСТВ,</w:t>
      </w:r>
    </w:p>
    <w:p w14:paraId="5B810ADA" w14:textId="77777777" w:rsidR="00EC56D3" w:rsidRPr="00867F6D" w:rsidRDefault="00EC56D3" w:rsidP="00EC56D3">
      <w:pPr>
        <w:widowControl w:val="0"/>
        <w:suppressAutoHyphens/>
        <w:autoSpaceDE w:val="0"/>
        <w:autoSpaceDN w:val="0"/>
        <w:adjustRightInd w:val="0"/>
        <w:jc w:val="center"/>
      </w:pPr>
      <w:r w:rsidRPr="00867F6D">
        <w:rPr>
          <w:bCs/>
        </w:rPr>
        <w:t>ПО СОСТОЯНИЮ НА 1 ЯНВАРЯ 20__ ГОДА</w:t>
      </w:r>
      <w:r w:rsidRPr="00867F6D">
        <w:t>»</w:t>
      </w:r>
    </w:p>
    <w:p w14:paraId="008A41CA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30A87C5" w14:textId="77777777" w:rsidR="00EC56D3" w:rsidRPr="00867F6D" w:rsidRDefault="00EC56D3" w:rsidP="00EC56D3">
      <w:pPr>
        <w:widowControl w:val="0"/>
        <w:suppressAutoHyphens/>
        <w:autoSpaceDE w:val="0"/>
        <w:autoSpaceDN w:val="0"/>
        <w:adjustRightInd w:val="0"/>
        <w:ind w:firstLine="709"/>
        <w:rPr>
          <w:bCs/>
        </w:rPr>
      </w:pPr>
      <w:r w:rsidRPr="00867F6D">
        <w:t xml:space="preserve">5. В разделе </w:t>
      </w:r>
      <w:hyperlink w:anchor="P168" w:history="1">
        <w:r w:rsidRPr="00867F6D">
          <w:rPr>
            <w:color w:val="000000"/>
          </w:rPr>
          <w:t>III</w:t>
        </w:r>
      </w:hyperlink>
      <w:r w:rsidRPr="00867F6D">
        <w:rPr>
          <w:color w:val="000000"/>
        </w:rPr>
        <w:t xml:space="preserve"> «Сведения о результатах инвентаризации оборудования и технических устройств, содержащих более трех килограммов озоноразрушающих веществ, по состоянию на 1 января 20__года» отражаются данные об оборудовании и технических устройствах, содержащих более трех килограммов ОРВ, полученные в результате проведения в установленном порядке инвентаризации оборудования и технических устройств, содержащих ОРВ.</w:t>
      </w:r>
    </w:p>
    <w:p w14:paraId="560782E8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>При заполнении</w:t>
      </w:r>
      <w:r w:rsidRPr="00867F6D">
        <w:rPr>
          <w:rFonts w:ascii="Times New Roman" w:hAnsi="Times New Roman" w:cs="Times New Roman"/>
          <w:sz w:val="30"/>
          <w:szCs w:val="30"/>
        </w:rPr>
        <w:t xml:space="preserve"> раздела </w:t>
      </w:r>
      <w:hyperlink w:anchor="P16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III</w:t>
        </w:r>
      </w:hyperlink>
      <w:r w:rsidRPr="00867F6D">
        <w:rPr>
          <w:rFonts w:ascii="Times New Roman" w:hAnsi="Times New Roman" w:cs="Times New Roman"/>
          <w:sz w:val="30"/>
          <w:szCs w:val="30"/>
        </w:rPr>
        <w:t>:</w:t>
      </w:r>
    </w:p>
    <w:p w14:paraId="7935EAA0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5.1. в пункте 1 указываются сведения об оборудовании и технических устройствах, содержащих ОРВ, </w:t>
      </w:r>
      <w:r w:rsidRPr="00867F6D">
        <w:rPr>
          <w:rFonts w:ascii="Times New Roman" w:hAnsi="Times New Roman" w:cs="Times New Roman"/>
          <w:sz w:val="30"/>
          <w:szCs w:val="30"/>
        </w:rPr>
        <w:t>за исключением ГФУ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2476EEFE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lastRenderedPageBreak/>
        <w:t>5.2. в пункте 2 указываются сведения об оборудовании и технических устройствах, содержащих ГФУ;</w:t>
      </w:r>
    </w:p>
    <w:p w14:paraId="01BB4B49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5.3. в случае, если в оборудовании или техническом устройстве содержатся ГФУ и иные ОРВ одновременно, сведения о таком оборудовании или техническом устройстве приводятся в любом из пунктов;</w:t>
      </w:r>
    </w:p>
    <w:p w14:paraId="0943EE2A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5.4. в </w:t>
      </w:r>
      <w:hyperlink w:anchor="P17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указывается место нахождения оборудования или технического устройства (название и номер цеха, технологического процесса и другое);</w:t>
      </w:r>
    </w:p>
    <w:p w14:paraId="0E146F0B" w14:textId="77777777" w:rsidR="00EC56D3" w:rsidRPr="00867F6D" w:rsidRDefault="00EC56D3" w:rsidP="00EC56D3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867F6D">
        <w:t xml:space="preserve">5.5. в </w:t>
      </w:r>
      <w:hyperlink w:anchor="P176" w:history="1">
        <w:r w:rsidRPr="00867F6D">
          <w:rPr>
            <w:color w:val="000000"/>
          </w:rPr>
          <w:t xml:space="preserve">графе </w:t>
        </w:r>
      </w:hyperlink>
      <w:r w:rsidRPr="00867F6D">
        <w:rPr>
          <w:color w:val="000000"/>
        </w:rPr>
        <w:t xml:space="preserve">Б </w:t>
      </w:r>
      <w:r w:rsidRPr="00867F6D">
        <w:rPr>
          <w:rFonts w:eastAsia="Times New Roman"/>
          <w:lang w:eastAsia="ru-RU"/>
        </w:rPr>
        <w:t>указывается вид и марка оборудования или технического устройства в соответствии с данными паспорта и (или) маркировочного ярлыка. При отсутствии таких данных в графе делается запись «неизвестно»;</w:t>
      </w:r>
    </w:p>
    <w:p w14:paraId="40F4C2CB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5.6. в графе 1 </w:t>
      </w:r>
      <w:r w:rsidRPr="00867F6D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14:paraId="08E1AD1E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5.7. в графе 2 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годе поставки в графе делается запись «неизвестно»;</w:t>
      </w:r>
    </w:p>
    <w:p w14:paraId="54BB1F14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5.8. в графе В указывается наименование ОРВ; </w:t>
      </w:r>
    </w:p>
    <w:p w14:paraId="29A43189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5.9. в графе 3 указывается объем ОРВ,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14:paraId="1B0D247F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5.10. в графе 4 указывается количество ОРВ, содержащихся в оборудовании или технических устройствах одного вида и марки (в килограммах), которое определяется путем умножения данных графы 1 на данные графы 3;</w:t>
      </w:r>
    </w:p>
    <w:p w14:paraId="623DD9CD" w14:textId="77777777" w:rsidR="00EC56D3" w:rsidRPr="00867F6D" w:rsidRDefault="00EC56D3" w:rsidP="00EC56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5.11. в графе Г указывается характер эксплуатации единицы оборудования или технического устройства, содержащего ОРВ: работающая, резервная, находящаяся на консервации, демонтированная, выведенная из эксплуатации.</w:t>
      </w:r>
    </w:p>
    <w:p w14:paraId="4F8B2548" w14:textId="77777777" w:rsidR="00AA46D6" w:rsidRDefault="00AA46D6"/>
    <w:sectPr w:rsidR="00AA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3"/>
    <w:rsid w:val="004378C7"/>
    <w:rsid w:val="00866794"/>
    <w:rsid w:val="008C336B"/>
    <w:rsid w:val="00AA46D6"/>
    <w:rsid w:val="00EA3BB8"/>
    <w:rsid w:val="00E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2237"/>
  <w15:chartTrackingRefBased/>
  <w15:docId w15:val="{2E36C198-C42E-46BB-94E8-8CD34C3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6D3"/>
    <w:pPr>
      <w:spacing w:after="0" w:line="240" w:lineRule="auto"/>
      <w:jc w:val="both"/>
    </w:pPr>
    <w:rPr>
      <w:rFonts w:eastAsia="Calibri" w:cs="Times New Roman"/>
      <w:sz w:val="30"/>
      <w:szCs w:val="3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56D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6D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BY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6D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BY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D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val="ru-BY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D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val="ru-BY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D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val="ru-BY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D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val="ru-BY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D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val="ru-BY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D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6D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6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6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6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6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6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6D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6D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</w:rPr>
  </w:style>
  <w:style w:type="character" w:customStyle="1" w:styleId="a4">
    <w:name w:val="Заголовок Знак"/>
    <w:basedOn w:val="a0"/>
    <w:link w:val="a3"/>
    <w:uiPriority w:val="10"/>
    <w:rsid w:val="00EC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6D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BY"/>
    </w:rPr>
  </w:style>
  <w:style w:type="character" w:customStyle="1" w:styleId="a6">
    <w:name w:val="Подзаголовок Знак"/>
    <w:basedOn w:val="a0"/>
    <w:link w:val="a5"/>
    <w:uiPriority w:val="11"/>
    <w:rsid w:val="00EC56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EC56D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val="ru-BY"/>
    </w:rPr>
  </w:style>
  <w:style w:type="character" w:customStyle="1" w:styleId="22">
    <w:name w:val="Цитата 2 Знак"/>
    <w:basedOn w:val="a0"/>
    <w:link w:val="21"/>
    <w:uiPriority w:val="29"/>
    <w:rsid w:val="00EC56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56D3"/>
    <w:pPr>
      <w:spacing w:after="160" w:line="259" w:lineRule="auto"/>
      <w:ind w:left="720"/>
      <w:contextualSpacing/>
      <w:jc w:val="left"/>
    </w:pPr>
    <w:rPr>
      <w:rFonts w:eastAsiaTheme="minorHAnsi" w:cstheme="minorBidi"/>
      <w:sz w:val="28"/>
      <w:szCs w:val="22"/>
      <w:lang w:val="ru-BY"/>
    </w:rPr>
  </w:style>
  <w:style w:type="character" w:styleId="a8">
    <w:name w:val="Intense Emphasis"/>
    <w:basedOn w:val="a0"/>
    <w:uiPriority w:val="21"/>
    <w:qFormat/>
    <w:rsid w:val="00EC56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val="ru-BY"/>
    </w:rPr>
  </w:style>
  <w:style w:type="character" w:customStyle="1" w:styleId="aa">
    <w:name w:val="Выделенная цитата Знак"/>
    <w:basedOn w:val="a0"/>
    <w:link w:val="a9"/>
    <w:uiPriority w:val="30"/>
    <w:rsid w:val="00EC56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56D3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EC5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val="ru-RU" w:eastAsia="ru-RU"/>
    </w:rPr>
  </w:style>
  <w:style w:type="paragraph" w:customStyle="1" w:styleId="ConsPlusNormal">
    <w:name w:val="ConsPlusNormal"/>
    <w:rsid w:val="00EC5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val="ru-RU" w:eastAsia="ru-RU"/>
    </w:rPr>
  </w:style>
  <w:style w:type="character" w:styleId="ac">
    <w:name w:val="Hyperlink"/>
    <w:uiPriority w:val="99"/>
    <w:unhideWhenUsed/>
    <w:rsid w:val="00EC5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prioos@minoblpriroda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komprios@ohranaprirody.gov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proos@mail.gomel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mitet@priroda-vitebsk.gov.by" TargetMode="External"/><Relationship Id="rId10" Type="http://schemas.openxmlformats.org/officeDocument/2006/relationships/hyperlink" Target="mailto:ok_proos@mogilevpriroda.gov.by" TargetMode="External"/><Relationship Id="rId4" Type="http://schemas.openxmlformats.org/officeDocument/2006/relationships/hyperlink" Target="mailto:priroda@priroda-brest.by" TargetMode="External"/><Relationship Id="rId9" Type="http://schemas.openxmlformats.org/officeDocument/2006/relationships/hyperlink" Target="mailto:priroda@mail.belpa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2025-01-15T14:52:00Z</dcterms:created>
  <dcterms:modified xsi:type="dcterms:W3CDTF">2025-01-15T14:53:00Z</dcterms:modified>
</cp:coreProperties>
</file>